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556A" w:rsidRPr="008B1BC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B1BCC" w:rsidRPr="008B1BC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B1BCC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B1BCC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МДК </w:t>
      </w:r>
      <w:r w:rsidRPr="008B1BCC">
        <w:rPr>
          <w:rFonts w:ascii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8B1BCC">
        <w:rPr>
          <w:rFonts w:ascii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8B1BC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9104B0" w:rsidRPr="008B1BCC">
        <w:rPr>
          <w:rFonts w:ascii="Times New Roman" w:hAnsi="Times New Roman" w:cs="Times New Roman"/>
          <w:sz w:val="28"/>
          <w:szCs w:val="28"/>
          <w:u w:val="single"/>
        </w:rPr>
        <w:t>Порядок инвентаризации основных средств, нематериальных активов, материально-производственных запасов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8B1BCC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6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обучающихся: </w:t>
      </w:r>
    </w:p>
    <w:p w:rsidR="008B1BCC" w:rsidRDefault="008B1BCC" w:rsidP="008B1BC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2 задачи согласно своему варианту</w:t>
      </w:r>
    </w:p>
    <w:p w:rsidR="00827F32" w:rsidRPr="008B1BCC" w:rsidRDefault="00827F32" w:rsidP="008B1BC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Ознакомиться с вопро</w:t>
      </w:r>
      <w:r w:rsidR="001F2F81" w:rsidRPr="008B1BCC">
        <w:rPr>
          <w:rFonts w:ascii="Times New Roman" w:hAnsi="Times New Roman" w:cs="Times New Roman"/>
          <w:b/>
          <w:sz w:val="28"/>
          <w:szCs w:val="28"/>
        </w:rPr>
        <w:t>с</w:t>
      </w:r>
      <w:r w:rsidR="00D33AC6" w:rsidRPr="008B1BCC">
        <w:rPr>
          <w:rFonts w:ascii="Times New Roman" w:hAnsi="Times New Roman" w:cs="Times New Roman"/>
          <w:b/>
          <w:sz w:val="28"/>
          <w:szCs w:val="28"/>
        </w:rPr>
        <w:t>ом</w:t>
      </w:r>
      <w:r w:rsidRPr="008B1BCC">
        <w:rPr>
          <w:rFonts w:ascii="Times New Roman" w:hAnsi="Times New Roman" w:cs="Times New Roman"/>
          <w:b/>
          <w:sz w:val="28"/>
          <w:szCs w:val="28"/>
        </w:rPr>
        <w:t xml:space="preserve"> новой темы </w:t>
      </w:r>
      <w:r w:rsidR="008B1BCC">
        <w:rPr>
          <w:rFonts w:ascii="Times New Roman" w:hAnsi="Times New Roman" w:cs="Times New Roman"/>
          <w:b/>
          <w:sz w:val="28"/>
          <w:szCs w:val="28"/>
        </w:rPr>
        <w:t>«</w:t>
      </w:r>
      <w:r w:rsidR="008B1BCC" w:rsidRP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Инвентаризация нематериальных активов</w:t>
      </w:r>
      <w:r w:rsid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B1BCC" w:rsidRP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1BCC">
        <w:rPr>
          <w:rFonts w:ascii="Times New Roman" w:hAnsi="Times New Roman" w:cs="Times New Roman"/>
          <w:b/>
          <w:sz w:val="28"/>
          <w:szCs w:val="28"/>
        </w:rPr>
        <w:t xml:space="preserve">и сделать конспект в тетрадь. </w:t>
      </w:r>
    </w:p>
    <w:p w:rsidR="00D33AC6" w:rsidRPr="008B1BCC" w:rsidRDefault="00D33AC6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B1BCC" w:rsidRPr="008B2862" w:rsidTr="00315BEC">
        <w:tc>
          <w:tcPr>
            <w:tcW w:w="4815" w:type="dxa"/>
          </w:tcPr>
          <w:p w:rsidR="008B1BCC" w:rsidRPr="008B2862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536" w:type="dxa"/>
          </w:tcPr>
          <w:p w:rsidR="008B1BCC" w:rsidRPr="008B2862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B1BCC" w:rsidRPr="008B2862" w:rsidTr="00315BEC">
        <w:tc>
          <w:tcPr>
            <w:tcW w:w="4815" w:type="dxa"/>
          </w:tcPr>
          <w:p w:rsidR="008B1BCC" w:rsidRPr="008B2862" w:rsidRDefault="008B1BCC" w:rsidP="00234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Ахкамова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EF1454" w:rsidRDefault="008B1BCC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Борноволоков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8B1BCC" w:rsidRPr="008B2862" w:rsidRDefault="00EF1454" w:rsidP="00EF1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Хорошавина Анна </w:t>
            </w:r>
          </w:p>
        </w:tc>
        <w:tc>
          <w:tcPr>
            <w:tcW w:w="4536" w:type="dxa"/>
          </w:tcPr>
          <w:p w:rsidR="008B1BCC" w:rsidRPr="008B2862" w:rsidRDefault="008B1BCC" w:rsidP="00234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Боликова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8B1BCC" w:rsidRPr="008B2862" w:rsidRDefault="00EF1454" w:rsidP="00EF1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</w:tr>
      <w:tr w:rsidR="008B1BCC" w:rsidRPr="00EF1454" w:rsidTr="00315BEC">
        <w:tc>
          <w:tcPr>
            <w:tcW w:w="4815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3 вариант</w:t>
            </w:r>
          </w:p>
        </w:tc>
        <w:tc>
          <w:tcPr>
            <w:tcW w:w="4536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4 вариант</w:t>
            </w:r>
          </w:p>
        </w:tc>
      </w:tr>
      <w:tr w:rsidR="008B1BCC" w:rsidRPr="008B2862" w:rsidTr="00315BEC">
        <w:tc>
          <w:tcPr>
            <w:tcW w:w="4815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Бычкова Татьяна </w:t>
            </w:r>
          </w:p>
          <w:p w:rsidR="008B1BCC" w:rsidRDefault="00EF1454" w:rsidP="00234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Куликова Алина</w:t>
            </w:r>
          </w:p>
        </w:tc>
        <w:tc>
          <w:tcPr>
            <w:tcW w:w="4536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Ганченко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  <w:p w:rsidR="008B1BCC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Политыко Иван</w:t>
            </w: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BCC" w:rsidRPr="00EF1454" w:rsidTr="00315BEC">
        <w:tc>
          <w:tcPr>
            <w:tcW w:w="4815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5 вариант</w:t>
            </w:r>
          </w:p>
        </w:tc>
        <w:tc>
          <w:tcPr>
            <w:tcW w:w="4536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6 вариант</w:t>
            </w:r>
          </w:p>
        </w:tc>
      </w:tr>
      <w:tr w:rsidR="008B1BCC" w:rsidRPr="008B2862" w:rsidTr="00315BEC">
        <w:tc>
          <w:tcPr>
            <w:tcW w:w="4815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Тырышкина Инга </w:t>
            </w:r>
          </w:p>
          <w:p w:rsidR="008B1BCC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Марина </w:t>
            </w:r>
          </w:p>
        </w:tc>
        <w:tc>
          <w:tcPr>
            <w:tcW w:w="4536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</w:p>
          <w:p w:rsidR="008B1BCC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BCC" w:rsidRPr="00EF1454" w:rsidTr="00315BEC">
        <w:tc>
          <w:tcPr>
            <w:tcW w:w="4815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7 вариант</w:t>
            </w:r>
          </w:p>
        </w:tc>
        <w:tc>
          <w:tcPr>
            <w:tcW w:w="4536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8 вариант</w:t>
            </w:r>
          </w:p>
        </w:tc>
      </w:tr>
      <w:tr w:rsidR="008B1BCC" w:rsidRPr="008B2862" w:rsidTr="00315BEC">
        <w:tc>
          <w:tcPr>
            <w:tcW w:w="4815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 Данил </w:t>
            </w:r>
          </w:p>
          <w:p w:rsidR="008B1BCC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Белова Ксения </w:t>
            </w:r>
          </w:p>
        </w:tc>
        <w:tc>
          <w:tcPr>
            <w:tcW w:w="4536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Вязовцева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8B1BCC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Олеся </w:t>
            </w:r>
          </w:p>
        </w:tc>
      </w:tr>
      <w:tr w:rsidR="008B1BCC" w:rsidRPr="00EF1454" w:rsidTr="00315BEC">
        <w:tc>
          <w:tcPr>
            <w:tcW w:w="4815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9 вариант</w:t>
            </w:r>
          </w:p>
        </w:tc>
        <w:tc>
          <w:tcPr>
            <w:tcW w:w="4536" w:type="dxa"/>
          </w:tcPr>
          <w:p w:rsidR="008B1BCC" w:rsidRPr="00EF1454" w:rsidRDefault="008B1BCC" w:rsidP="002347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54">
              <w:rPr>
                <w:rFonts w:ascii="Times New Roman" w:hAnsi="Times New Roman" w:cs="Times New Roman"/>
                <w:b/>
                <w:sz w:val="28"/>
                <w:szCs w:val="28"/>
              </w:rPr>
              <w:t>10 вариант</w:t>
            </w:r>
          </w:p>
        </w:tc>
      </w:tr>
      <w:tr w:rsidR="008B1BCC" w:rsidRPr="008B2862" w:rsidTr="00315BEC">
        <w:tc>
          <w:tcPr>
            <w:tcW w:w="4815" w:type="dxa"/>
          </w:tcPr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Уткина Елена </w:t>
            </w:r>
          </w:p>
          <w:p w:rsidR="00EF1454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Угрюмова Наталья</w:t>
            </w: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BCC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Денисова Юлия</w:t>
            </w:r>
          </w:p>
        </w:tc>
        <w:tc>
          <w:tcPr>
            <w:tcW w:w="4536" w:type="dxa"/>
          </w:tcPr>
          <w:p w:rsidR="00EF1454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Хорошавин Артем </w:t>
            </w:r>
          </w:p>
          <w:p w:rsidR="00EF1454" w:rsidRPr="008B2862" w:rsidRDefault="00EF1454" w:rsidP="00EF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</w:tbl>
    <w:p w:rsidR="008B1BCC" w:rsidRDefault="008B1BCC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454" w:rsidRPr="008B1BCC" w:rsidRDefault="00EF1454" w:rsidP="00EF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1454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В результате аварии по вине токаря предприятия пришел в негодность станок, первоначальная стоимость которого 90000 руб., начисленная амортизация – 40000 руб. На основании решения суда с токаря предприятия за нанесенный ущерб удержано из заработной платы 15000 руб. Оставшаяся часть ущерба списана за счет финансовых результатов организации. 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lastRenderedPageBreak/>
        <w:t xml:space="preserve">По вине работника организации вышел из строя конвейер. Конвейер ремонту не подлежит. Стоимость конвейера 288000 руб., сумма начисленной амортизации – 192000 руб. С работника решено удержать 32000 руб. Сумма ущерба удерживается следующим образом: в кассу наличными – 10000 руб. Оставшаяся сумма – из заработной платы.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>При инвентаризации основных средств было выявлена недостача двух обогревателей. Виновные установлены. Первоначальная стоимость каждого обогревателя 13000 руб., амортизация – 7000 руб. Рыночная стоимость – 9000 руб. Сумма ущерба удержана у виновных лиц из заработной платы.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В организации обнаружена недостача основных средств остаточной стоимостью 12000 руб. (первоначальная стоимость - 32000 руб., сумма накопленной амортизации - 20000 руб.), излишки основных средств стоимостью 110000 руб. Недостача отнесена на материально ответственное лицо (с возмещением по рыночной стоимости 15000 руб.).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По вине работника организации вышел из строя конвейер. Конвейер ремонту не подлежит. Стоимость конвейера 288000 руб., сумма начисленной амортизации – 192000 руб. С работника решено удержать 32000 руб. Сумма ущерба удерживается следующим образом: в кассу наличными – 10000 руб. Оставшаяся сумма – из заработной платы.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В организации обнаружена недостача основных средств остаточной стоимостью 18000 руб. (первоначальная стоимость – 40000 руб., сумма накопленной амортизации – 22000 руб.), излишки основных средств стоимостью 98000 руб.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Недостача отнесена на материально ответственное лицо (с возмещением по рыночной стоимости 25000 руб.).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>Недостача была взыскана следующим образом: 15000 руб. – из заработной платы, 10000 руб.- внесено наличными в кассу организации.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B1BCC">
        <w:rPr>
          <w:i/>
          <w:color w:val="000000"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 xml:space="preserve">Вариант 4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BCC">
        <w:rPr>
          <w:rFonts w:ascii="Times New Roman" w:hAnsi="Times New Roman" w:cs="Times New Roman"/>
          <w:color w:val="000000"/>
          <w:sz w:val="28"/>
          <w:szCs w:val="28"/>
        </w:rPr>
        <w:t>В организации обнаружена недостача основных средств остаточной стоимостью 12000 руб. (первоначальная стоимость - 32000 руб., сумма накопленной амортизации - 20000 руб.), излишки основных средств стоимостью 110000 руб. Недостача отнесена на материально ответственное лицо (с возмещением по рыночной стоимости 15000 руб.).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В результате аварии по вине токаря предприятия пришел в негодность станок, первоначальная стоимость которого 90000 руб., начисленная амортизация – 40000 руб. На основании решения суда с токаря предприятия за нанесенный ущерб удержано из заработной платы 15000 руб. Оставшаяся часть ущерба списана за счет финансовых результатов организации. 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 xml:space="preserve">Вариант 5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>При инвентаризации основных средств было выявлена недостача двух обогревателей. Виновные установлены. Первоначальная стоимость каждого обогревателя 13000 руб., амортизация – 7000 руб. Рыночная стоимость – 9000 руб. Сумма ущерба удержана у виновных лиц из заработной платы.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В результате аварии по вине токаря предприятия пришел в негодность станок, первоначальная стоимость которого 90000 руб., начисленная амортизация – 40000 руб. На основании решения суда с токаря предприятия за нанесенный ущерб удержано из заработной платы 15000 руб. Оставшаяся часть ущерба списана за счет финансовых результатов организации. 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По вине работника организации вышел из строя конвейер. Конвейер ремонту не подлежит. Стоимость конвейера 288000 руб., сумма начисленной амортизации – 192000 руб. С работника решено удержать 32000 руб. Сумма ущерба удерживается следующим образом: в кассу наличными – 10000 руб. Оставшаяся сумма – из заработной платы.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>При инвентаризации основных средств было выявлена недостача двух обогревателей. Виновные установлены. Первоначальная стоимость каждого обогревателя 13000 руб., амортизация – 7000 руб. Рыночная стоимость – 9000 руб. Сумма ущерба удержана у виновных лиц из заработной платы.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>При инвентаризации основных средств было выявлена недостача двух обогревателей. Виновные установлены. Первоначальная стоимость каждого обогревателя 13000 руб., амортизация – 7000 руб. Рыночная стоимость – 9000 руб. Сумма ущерба удержана у виновных лиц из заработной платы.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В организации обнаружена недостача основных средств остаточной стоимостью 18000 руб. (первоначальная стоимость – 40000 руб., сумма накопленной амортизации – 22000 руб.), излишки основных средств стоимостью 98000 руб.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Недостача отнесена на материально ответственное лицо (с возмещением по рыночной стоимости 25000 руб.).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>Недостача была взыскана следующим образом: 15000 руб. – из заработной платы, 10000 руб.- внесено наличными в кассу организации.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1BCC">
        <w:rPr>
          <w:rFonts w:ascii="Times New Roman" w:hAnsi="Times New Roman" w:cs="Times New Roman"/>
          <w:i/>
          <w:color w:val="000000"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В организации обнаружена недостача основных средств остаточной стоимостью 18000 руб. (первоначальная стоимость – 40000 руб., сумма накопленной амортизации – 22000 руб.), излишки основных средств стоимостью 98000 руб.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Недостача отнесена на материально ответственное лицо (с возмещением по рыночной стоимости 25000 руб.).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>Недостача была взыскана следующим образом: 15000 руб. – из заработной платы, 10000 руб.- внесено наличными в кассу организации.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1BCC">
        <w:rPr>
          <w:rFonts w:ascii="Times New Roman" w:hAnsi="Times New Roman" w:cs="Times New Roman"/>
          <w:i/>
          <w:color w:val="000000"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В результате аварии по вине токаря предприятия пришел в негодность станок, первоначальная стоимость которого 90000 руб., начисленная амортизация – 40000 руб. На основании решения суда с токаря предприятия за нанесенный ущерб удержано из заработной платы 15000 руб. Оставшаяся часть ущерба списана за счет финансовых результатов организации. 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BCC">
        <w:rPr>
          <w:rFonts w:ascii="Times New Roman" w:hAnsi="Times New Roman" w:cs="Times New Roman"/>
          <w:color w:val="000000"/>
          <w:sz w:val="28"/>
          <w:szCs w:val="28"/>
        </w:rPr>
        <w:t>В организации обнаружена недостача основных средств остаточной стоимостью 12000 руб. (первоначальная стоимость - 32000 руб., сумма накопленной амортизации - 20000 руб.), излишки основных средств стоимостью 110000 руб. Недостача отнесена на материально ответственное лицо (с возмещением по рыночной стоимости 15000 руб.).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По вине работника организации вышел из строя конвейер. Конвейер ремонту не подлежит. Стоимость конвейера 288000 руб., сумма начисленной амортизации – 192000 руб. С работника решено удержать 32000 руб. Сумма ущерба удерживается следующим образом: в кассу наличными – 10000 руб. Оставшаяся сумма – из заработной платы. 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CC">
        <w:rPr>
          <w:rFonts w:ascii="Times New Roman" w:hAnsi="Times New Roman" w:cs="Times New Roman"/>
          <w:i/>
          <w:sz w:val="28"/>
          <w:szCs w:val="28"/>
        </w:rPr>
        <w:t>Составить бухгалтерские проводки.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BCC">
        <w:rPr>
          <w:rFonts w:ascii="Times New Roman" w:hAnsi="Times New Roman" w:cs="Times New Roman"/>
          <w:color w:val="000000"/>
          <w:sz w:val="28"/>
          <w:szCs w:val="28"/>
        </w:rPr>
        <w:t>В организации обнаружена недостача основных средств остаточной стоимостью 12000 руб. (первоначальная стоимость - 32000 руб., сумма накопленной амортизации - 20000 руб.), излишки основных средств стоимостью 110000 руб. Недостача отнесена на материально ответственное лицо (с возмещением по рыночной стоимости 15000 руб.).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CC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В организации обнаружена недостача основных средств остаточной стоимостью 18000 руб. (первоначальная стоимость – 40000 руб., сумма накопленной амортизации – 22000 руб.), излишки основных средств стоимостью 98000 руб.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 xml:space="preserve">Недостача отнесена на материально ответственное лицо (с возмещением по рыночной стоимости 25000 руб.). </w:t>
      </w:r>
    </w:p>
    <w:p w:rsidR="00EF1454" w:rsidRPr="008B1BCC" w:rsidRDefault="00EF1454" w:rsidP="00EF1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BCC">
        <w:rPr>
          <w:color w:val="000000"/>
          <w:sz w:val="28"/>
          <w:szCs w:val="28"/>
        </w:rPr>
        <w:t>Недостача была взыскана следующим образом: 15000 руб. – из заработной платы, 10000 руб.- внесено наличными в кассу организации.</w:t>
      </w:r>
    </w:p>
    <w:p w:rsidR="00EF1454" w:rsidRPr="008B1BCC" w:rsidRDefault="00EF1454" w:rsidP="00EF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i/>
          <w:color w:val="000000"/>
          <w:sz w:val="28"/>
          <w:szCs w:val="28"/>
        </w:rPr>
        <w:t>Составить бухгалтерские проводки.</w:t>
      </w:r>
    </w:p>
    <w:p w:rsidR="008B1BCC" w:rsidRDefault="008B1BCC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454" w:rsidRDefault="00EF1454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454" w:rsidRDefault="00EF1454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тема:</w:t>
      </w:r>
    </w:p>
    <w:p w:rsidR="008B1BCC" w:rsidRPr="008B1BCC" w:rsidRDefault="008B1BCC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Инвентаризация нематериальных активов</w:t>
      </w:r>
    </w:p>
    <w:p w:rsidR="008B1BCC" w:rsidRPr="008B1BCC" w:rsidRDefault="008B1BCC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(балансовые счета 04 и 05)</w:t>
      </w:r>
    </w:p>
    <w:p w:rsidR="008B1BCC" w:rsidRPr="008B1BCC" w:rsidRDefault="008B1BCC" w:rsidP="008B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объектов НМА осуществляется в соответствии с Методи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 указаниями по инвентаризации имущества и финансовых обязательств, которые должны применяться с учетом постановления Госкомстата России от 18.</w:t>
      </w:r>
      <w:hyperlink r:id="rId5" w:history="1">
        <w:r w:rsidRPr="008B1B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08</w:t>
        </w:r>
      </w:hyperlink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.1998 № 88.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нематериальных активов осуществляется инвентаризационными ко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миссиями при обязательном участии лиц, ответственных за сохранность документов, удо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стоверяющих право организации на нематериальные активы.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нематериальных активов необходимо проверить: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документов, подтверждающих права организации на их использование;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 и своевременность отражения нематериальных активов в учете.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Проверяется состав нематериальных активов. К нематериальным активам могут быть отнесены: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интеллектуальной собственности (исключительное право на результаты интеллектуальной деятельности):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исключительное право патентообладателя на изобретение, промышленный образец, полезную модель;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исключительное авторское право на программы для ЭВМ, базы данных;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пользования на программы ЭВМ и базы данных, приобретенных до 1 января 2001 года;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имущественное право автора или иного правообладателя на топологии интегральных микросхем;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исключительное право владельца на товарный знак и знак обслуживания, наименование места происхождения товаров;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исключительное право патентообладателя на селекционные достижения;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на «ноу-хау», приобретенные до 1 января 2001 года;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деловая репутация организации;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организационные расходы (расходы, связанные с образованием юридического лица, признанные в соответствии с учредительными документами частью вклада участников (учредителей) в уставный (складочный) капитал организации).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Проверяются документы, подтверждающие права на нематериальные активы: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нематериальным активам, приобретенным за плату, необходимы договоры об уступке прав, договоры о передаче прав на использование (по нематериальным активам, приобретенным до 1 января 2001 года), акты приема-передачи;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нематериальным активам, разработанным специалистами организации или с привлечением сторонних организаций (физических лиц) по договору подряда, необходимо иметь документальное подтверждение выполнения работ по созданию объекта нематериального актива (договоры подряда, акты приема-передачи, локальные акты организации о затратах, связанных с созданием нематериального актива).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Нематериальные активы считаются созданными в случае, если: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исключительное право на результаты интеллектуальной деятельности, полученные в порядке выполнения служебных обязанностей или по конкретному заданию работодателя, принадлежит организации – работодателю;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исключительное право на результаты интеллектуальной деятельности, полученные автором (авторами) по договору с заказчиком, не являющимся работодателем, принадлежит организации – заказчику;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на товарный знак или на право пользования наименованием места происхождения товара выдано на имя организации.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Проверяется наличие государственной регистрации на объекты интеллектуальной собственности.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Проверяется наличие карточек учета нематериальных активов по форме НМА-1 и правильность их ведения.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Проверяется правильность формирования инвентарного объекта нематериальных активов. Инвентарным объектом считается совокупность прав, возникающих из одного патента, свидетельства, договора уступки прав и т.п. Основным признаком, по которому один инвентарный объект идентифицируется от другого, служит выполнение им самостоятельной функции в производстве продукции, выполнении работ или оказании услуг либо использовании для управленческих нужд организации.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Проверяется правильность формирования первоначальной стоимости нематериальных активов: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первоначальная стоимость нематериальных активов, приобретенных за плату, определяется как сумма фактических расходов на приобретение, за исключением налога на добавленную стоимость и иных возмещаемых налогов (кроме случаев, предусмотренных законодательством Российской Федерации). Фактические расходы формируются в соответствии с п.6 ПБУ 14/2000;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первоначальная стоимость нематериальных активов, созданных самой организацией, определяется как сумма фактических расходов на их создание, изготовление (израсходованные материальные ресурсы, оплата труда, услуги сторонних организаций по контрагентским (</w:t>
      </w:r>
      <w:proofErr w:type="spellStart"/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соисполнительским</w:t>
      </w:r>
      <w:proofErr w:type="spellEnd"/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договорам, патентные пошлины, связанные с получением патентов, свидетельств, и т.п.),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Проверяется правильность установления срока полезного использования и метод начисления амортизации в соответствии с нормативными документами и учетной политикой организации.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нематериальным активам, срок полезного использования которых невозможно определить, нормы амортизационных отчислений устанавливаются в расчете: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десять лет (но не более срока деятельности организации) по приобретенным (созданным) до 01.01.2001 г.;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двадцать лет (но не более срока деятельности организации) по приобретенным (созданным) после 01.01.2001 г.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Проверяется правильность начисления амортизации в соответствии с учетной политикой организации и Положением по бухгалтерскому учету «Учет нематериальных активов» ПБУ 14/2000.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выявлении нематериальных активов, не отраженных в бухгалтерском учете, комиссия должна включать их в инвентаризационную опись.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Заполняются инвентаризационные описи по форме ИНВ-1а в количестве двух экземпляров. Один экземпляр передается в бухгалтерию для заполнения графы «По данным бухгалтерского учета», второй экземпляр остается у лица, ответственного за сохранность документов, удостоверяющих право организации на нематериальные активы.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наличии расхождений фактического наличия нематериальных активов с данными бухгалтерского учета бухгалтер заполняет сличительную ведомость по форме ИНВ-18. При этом графы 3, 8, 10 не заполняются.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Сличительная ведомость результатов инвентаризации нематериальных активов по форме ИНВ-18 составляется в двух экземплярах, один из которых хранится в бухгалтерии, второй – передается лицу, ответственному за сохранность документов, удостоверяющих право организации на нематериальные активы.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данных инвентаризации нематериальных активов применяется инвентаризационная опись нематериальных активов (форма № ИНВ-1а).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составляется в двух экземплярах и подписывается ответственными лицами комиссии лицом, ответственным за сохранность документов, удостоверяющих права организации на нематериальные активы. Один экземпляр передается в бухгалтерию, а второй остается у ответственного за сохранность документов лица.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инвентаризации от каждого лица или группы лиц, отвечающих за сохранность документов, удостоверяющих право организации на нематериальные активы, берется расписка. Расписка включена в заголовочную часть формы,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нематериальных активов, не отраженных в бухгалтерском учете, комиссия должна включить их в инвентаризационную опись.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инвентаризационных описей используются для составления сличительных ведомостей, в которых фактические данные описей сопоставляются с учетными данными.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расхождений между показателями по данным бухгалтерского учета и данными инвентаризационных описей составляются сличительные ведомости.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отражения результатов инвентаризации нематериальных активов, по которым выявлены отклонения от учетных данных, применяется «Сличительная ведомость результатов инвентаризации основных средств, нематериальных активов» (форма № ИНВ-18).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Сличительная ведомость составляется в двух экземплярах бухгалтером, один из которых хранится в бухгалтерии, второй передается лицу, ответственному за сохранность документов, удостоверяющих права организации на нематериальные активы.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инвентаризации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отражены в учете и отчетности того месяца, в котором была закончена инвентаризация, а по годовой инвентаризации — в годовом бух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галтерском отчете.</w:t>
      </w:r>
    </w:p>
    <w:p w:rsidR="008B1BCC" w:rsidRPr="00E73101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Излишки в отчетном периоде относят по рыночной стоимости на прочие доходы предприятия с формированием проводки: Д 04 К 91.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Недостачи относят на установленных виновных лиц с формированием проводок: 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94 К 04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сумму остаточной стоимости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Д05 К 04 – на сумму начисленной амортизации</w:t>
      </w: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Виновному лицу по рыночной стоимости: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73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94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величину остаточной стоимости НМА</w:t>
      </w:r>
    </w:p>
    <w:p w:rsidR="008B1BCC" w:rsidRPr="008B1BCC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73/2 К 98/4 – на разницу между рыночной и остаточной стоимостью</w:t>
      </w:r>
    </w:p>
    <w:p w:rsidR="008B1BCC" w:rsidRPr="00E73101" w:rsidRDefault="008B1BCC" w:rsidP="008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установить виновника, недостача НМА списывается на прочие затраты проводкой Д 91</w:t>
      </w:r>
      <w:r w:rsidRPr="008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Pr="00E7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94.</w:t>
      </w:r>
    </w:p>
    <w:p w:rsidR="008B1BCC" w:rsidRDefault="008B1BCC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 w:rsidR="00CC556A" w:rsidRPr="008B1BCC">
        <w:rPr>
          <w:rFonts w:ascii="Times New Roman" w:hAnsi="Times New Roman" w:cs="Times New Roman"/>
          <w:sz w:val="28"/>
          <w:szCs w:val="28"/>
        </w:rPr>
        <w:t>2</w:t>
      </w:r>
      <w:r w:rsidR="008B1BCC" w:rsidRPr="008B1BCC">
        <w:rPr>
          <w:rFonts w:ascii="Times New Roman" w:hAnsi="Times New Roman" w:cs="Times New Roman"/>
          <w:sz w:val="28"/>
          <w:szCs w:val="28"/>
        </w:rPr>
        <w:t>8</w:t>
      </w:r>
      <w:r w:rsidRPr="008B1BCC">
        <w:rPr>
          <w:rFonts w:ascii="Times New Roman" w:hAnsi="Times New Roman" w:cs="Times New Roman"/>
          <w:sz w:val="28"/>
          <w:szCs w:val="28"/>
        </w:rPr>
        <w:t>.05.2020г.</w:t>
      </w:r>
    </w:p>
    <w:p w:rsidR="00827F32" w:rsidRPr="008B1BCC" w:rsidRDefault="00827F32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BCC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8B1BC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CC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8B1BCC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8B1BCC">
        <w:rPr>
          <w:rFonts w:ascii="Times New Roman" w:hAnsi="Times New Roman" w:cs="Times New Roman"/>
          <w:b/>
          <w:sz w:val="28"/>
          <w:szCs w:val="28"/>
        </w:rPr>
        <w:t>s2s7cos</w:t>
      </w:r>
    </w:p>
    <w:p w:rsidR="008B1BCC" w:rsidRPr="008B1BCC" w:rsidRDefault="008B1BCC" w:rsidP="008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1BCC" w:rsidRPr="008B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FE"/>
    <w:multiLevelType w:val="multilevel"/>
    <w:tmpl w:val="5E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4634"/>
    <w:multiLevelType w:val="multilevel"/>
    <w:tmpl w:val="0B7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B74AC"/>
    <w:multiLevelType w:val="multilevel"/>
    <w:tmpl w:val="5D4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E721A"/>
    <w:multiLevelType w:val="multilevel"/>
    <w:tmpl w:val="598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85E59"/>
    <w:multiLevelType w:val="multilevel"/>
    <w:tmpl w:val="A62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3470"/>
    <w:multiLevelType w:val="singleLevel"/>
    <w:tmpl w:val="811480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9B2551"/>
    <w:multiLevelType w:val="hybridMultilevel"/>
    <w:tmpl w:val="B66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08CC"/>
    <w:multiLevelType w:val="hybridMultilevel"/>
    <w:tmpl w:val="BA4C6B8C"/>
    <w:lvl w:ilvl="0" w:tplc="8F58B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440DD0"/>
    <w:multiLevelType w:val="multilevel"/>
    <w:tmpl w:val="41B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E5687"/>
    <w:multiLevelType w:val="multilevel"/>
    <w:tmpl w:val="8D1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41488"/>
    <w:multiLevelType w:val="multilevel"/>
    <w:tmpl w:val="C3F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75484"/>
    <w:multiLevelType w:val="multilevel"/>
    <w:tmpl w:val="073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84DE6"/>
    <w:multiLevelType w:val="multilevel"/>
    <w:tmpl w:val="8B5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9508B"/>
    <w:multiLevelType w:val="multilevel"/>
    <w:tmpl w:val="6B3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E4A37"/>
    <w:multiLevelType w:val="multilevel"/>
    <w:tmpl w:val="B3A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42898"/>
    <w:multiLevelType w:val="multilevel"/>
    <w:tmpl w:val="1AC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F94D21"/>
    <w:multiLevelType w:val="multilevel"/>
    <w:tmpl w:val="6E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47016"/>
    <w:multiLevelType w:val="multilevel"/>
    <w:tmpl w:val="B5D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27812"/>
    <w:multiLevelType w:val="multilevel"/>
    <w:tmpl w:val="221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86577"/>
    <w:multiLevelType w:val="multilevel"/>
    <w:tmpl w:val="902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7"/>
  </w:num>
  <w:num w:numId="16">
    <w:abstractNumId w:val="19"/>
  </w:num>
  <w:num w:numId="17">
    <w:abstractNumId w:val="1"/>
  </w:num>
  <w:num w:numId="18">
    <w:abstractNumId w:val="11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0"/>
    <w:rsid w:val="00010C8C"/>
    <w:rsid w:val="00070437"/>
    <w:rsid w:val="001F2F81"/>
    <w:rsid w:val="00304203"/>
    <w:rsid w:val="00315BEC"/>
    <w:rsid w:val="004968C7"/>
    <w:rsid w:val="00683E16"/>
    <w:rsid w:val="00711310"/>
    <w:rsid w:val="0078304F"/>
    <w:rsid w:val="008201D0"/>
    <w:rsid w:val="00827F32"/>
    <w:rsid w:val="008B1BCC"/>
    <w:rsid w:val="008B2862"/>
    <w:rsid w:val="008D7E0D"/>
    <w:rsid w:val="009104B0"/>
    <w:rsid w:val="009C1C60"/>
    <w:rsid w:val="00AA7B20"/>
    <w:rsid w:val="00C11D91"/>
    <w:rsid w:val="00CC556A"/>
    <w:rsid w:val="00D33AC6"/>
    <w:rsid w:val="00DE4742"/>
    <w:rsid w:val="00E059B1"/>
    <w:rsid w:val="00E9557F"/>
    <w:rsid w:val="00EF1454"/>
    <w:rsid w:val="00F01767"/>
    <w:rsid w:val="00F36E54"/>
    <w:rsid w:val="00F83E5F"/>
    <w:rsid w:val="00FA2BB2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AAE9"/>
  <w15:chartTrackingRefBased/>
  <w15:docId w15:val="{2A1FAC02-C660-4906-B62A-70723EB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BCC"/>
  </w:style>
  <w:style w:type="paragraph" w:styleId="2">
    <w:name w:val="heading 2"/>
    <w:basedOn w:val="a"/>
    <w:link w:val="20"/>
    <w:uiPriority w:val="9"/>
    <w:qFormat/>
    <w:rsid w:val="009C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C60"/>
    <w:rPr>
      <w:i/>
      <w:iCs/>
    </w:rPr>
  </w:style>
  <w:style w:type="character" w:styleId="a5">
    <w:name w:val="Strong"/>
    <w:basedOn w:val="a0"/>
    <w:uiPriority w:val="22"/>
    <w:qFormat/>
    <w:rsid w:val="009C1C60"/>
    <w:rPr>
      <w:b/>
      <w:bCs/>
    </w:rPr>
  </w:style>
  <w:style w:type="character" w:styleId="a6">
    <w:name w:val="Hyperlink"/>
    <w:basedOn w:val="a0"/>
    <w:uiPriority w:val="99"/>
    <w:unhideWhenUsed/>
    <w:rsid w:val="009C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E955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56A"/>
    <w:pPr>
      <w:ind w:left="720"/>
      <w:contextualSpacing/>
    </w:pPr>
  </w:style>
  <w:style w:type="table" w:styleId="a9">
    <w:name w:val="Table Grid"/>
    <w:basedOn w:val="a1"/>
    <w:uiPriority w:val="39"/>
    <w:rsid w:val="008B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603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6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plomilirist.ru/razdel-1-vneoborotnye-aktivy/schet-08-vlozhenija-vo-vneoborotnye-akti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2020-05-27T17:28:00Z</dcterms:created>
  <dcterms:modified xsi:type="dcterms:W3CDTF">2020-05-27T17:44:00Z</dcterms:modified>
</cp:coreProperties>
</file>