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4F6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7320E9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7320E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4F64A2" w:rsidRPr="007320E9">
        <w:rPr>
          <w:rFonts w:ascii="Times New Roman" w:hAnsi="Times New Roman" w:cs="Times New Roman"/>
          <w:b/>
          <w:sz w:val="20"/>
          <w:szCs w:val="20"/>
          <w:highlight w:val="yellow"/>
        </w:rPr>
        <w:t>26.03.21.</w:t>
      </w:r>
      <w:r w:rsidR="000613D9" w:rsidRPr="007320E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 xml:space="preserve">Группа </w:t>
      </w:r>
      <w:r w:rsidR="004F64A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4F64A2">
        <w:rPr>
          <w:rFonts w:ascii="Times New Roman" w:hAnsi="Times New Roman" w:cs="Times New Roman"/>
          <w:sz w:val="20"/>
          <w:szCs w:val="20"/>
        </w:rPr>
        <w:t>Т-20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18FA">
        <w:rPr>
          <w:rFonts w:ascii="Times New Roman" w:hAnsi="Times New Roman" w:cs="Times New Roman"/>
          <w:b/>
          <w:sz w:val="20"/>
          <w:szCs w:val="20"/>
        </w:rPr>
        <w:t>5</w:t>
      </w:r>
      <w:r w:rsidR="004F64A2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1D18FA">
        <w:rPr>
          <w:rFonts w:ascii="Times New Roman" w:hAnsi="Times New Roman" w:cs="Times New Roman"/>
          <w:b/>
          <w:sz w:val="20"/>
          <w:szCs w:val="20"/>
        </w:rPr>
        <w:t>Лекция    Государственная политика в области международной торговли.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973636" w:rsidRDefault="001C2033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</w:t>
      </w:r>
      <w:r w:rsidR="00973636">
        <w:rPr>
          <w:sz w:val="18"/>
          <w:szCs w:val="18"/>
        </w:rPr>
        <w:t>1.</w:t>
      </w:r>
      <w:r w:rsidRPr="007E6F31">
        <w:rPr>
          <w:sz w:val="18"/>
          <w:szCs w:val="18"/>
        </w:rPr>
        <w:t xml:space="preserve">  </w:t>
      </w:r>
      <w:r w:rsidRPr="007E6F31">
        <w:rPr>
          <w:sz w:val="18"/>
          <w:szCs w:val="18"/>
          <w:highlight w:val="yellow"/>
        </w:rPr>
        <w:t>ПРОЧИТАЙТЕ текст</w:t>
      </w:r>
      <w:r w:rsidRPr="007E6F31">
        <w:rPr>
          <w:sz w:val="18"/>
          <w:szCs w:val="18"/>
        </w:rPr>
        <w:t xml:space="preserve">  </w:t>
      </w:r>
      <w:r w:rsidR="00870E30">
        <w:rPr>
          <w:sz w:val="18"/>
          <w:szCs w:val="18"/>
        </w:rPr>
        <w:t xml:space="preserve">и  </w:t>
      </w:r>
      <w:r w:rsidR="00870E30" w:rsidRPr="00870E30">
        <w:rPr>
          <w:b/>
          <w:sz w:val="18"/>
          <w:szCs w:val="18"/>
        </w:rPr>
        <w:t>ЗАПИШИТЕ  ПОНЯТИЯ</w:t>
      </w:r>
      <w:r w:rsidR="00870E30">
        <w:rPr>
          <w:sz w:val="18"/>
          <w:szCs w:val="18"/>
        </w:rPr>
        <w:t>.</w:t>
      </w:r>
      <w:r w:rsidR="00CE2887">
        <w:rPr>
          <w:sz w:val="18"/>
          <w:szCs w:val="18"/>
        </w:rPr>
        <w:t xml:space="preserve"> </w:t>
      </w:r>
      <w:r w:rsidR="001D18FA">
        <w:rPr>
          <w:sz w:val="18"/>
          <w:szCs w:val="18"/>
        </w:rPr>
        <w:t xml:space="preserve">  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Страны мира проводят политику, которая ориентируется или на полное и свободное развитие международной торговли, или на ограничение свободы в области торговли.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Внешнеторговая политика, ориентированная на свободное развитие внешней торговли, – это «фритредерство». Свободная торговля приносит выгоду всем странам. Но большинство стран используют меры для увеличения экспорта и защиты отечественного рынка от внешней конкуренции.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И это другой вариант государственной политики в сфере международной торговли – протекционизм.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Протекционизм – политика ограничения свободы в торговле. В условиях конкуренции государства ограничивают международную торговлю, используя разного рода барьеры.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Причины протекционизма различны: необходимость защиты национальных отраслей экономики, которые не могут выжить в открытом рынке; защита от дешёвой иностранной рабочей силы; увеличение роста ВВП, ответ на жёсткие меры внешнеторговой политики других стран, защита от демпинга.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Демпинг – это процесс установления искусственно заниженных цен на товары с целью вытеснения конкурентов.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При реализации политики протекционизма страны используют тарифные и нетарифные барьеры.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 xml:space="preserve">Тарифные барьеры – это пошлины на импортные товары, то есть налоги в государственный бюджет, которые платит импортёр товаров. Пошлинами облагаются товары не только в целях защиты своих отечественных производителей, но и для пополнения бюджета страны. В соответствии с этими целями импортные пошлины делят </w:t>
      </w:r>
      <w:proofErr w:type="gramStart"/>
      <w:r w:rsidRPr="00870E30">
        <w:rPr>
          <w:color w:val="1D1D1B"/>
          <w:sz w:val="18"/>
          <w:szCs w:val="18"/>
        </w:rPr>
        <w:t>на</w:t>
      </w:r>
      <w:proofErr w:type="gramEnd"/>
      <w:r w:rsidRPr="00870E30">
        <w:rPr>
          <w:color w:val="1D1D1B"/>
          <w:sz w:val="18"/>
          <w:szCs w:val="18"/>
        </w:rPr>
        <w:t xml:space="preserve"> протекционистские и фискальные.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Протекционистские пошлины устанавливаются на товары, аналогичные отечественным. Фискальные пошлины устанавливаются на товары, которые не производятся в данной стране.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Нетарифные барьеры – это меры, имеющие неценовой характер для ограничения импорта: квоты, стандарты и тех. условия, лицензии, субсидии, эмбарго и др.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Квота – это количественное ограничение на ввоз определённого вида товаров.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Страны устанавливают стандарты и технические условия, которым должны отвечать товары, ввозимые в страну.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Лицензия – это разрешение на импорт определённых товаров. В некоторых странах очень сложно купить лицензию для ввоза товара, например, в Японии.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Для развития собственного экспорта государство использует субсидии фирмам. Субсидии чаще всего применяются в странах для поддержки отечественных производителей сельхозпродукции.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Эмбарго – запрет на импорт определённых видов товаров вообще.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В результате реализации мер протекционизма периодически вспыхивают «войны»: «меховые», «винные», «автомобильные».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b/>
          <w:bCs/>
          <w:color w:val="1D1D1B"/>
          <w:sz w:val="18"/>
          <w:szCs w:val="18"/>
        </w:rPr>
        <w:lastRenderedPageBreak/>
        <w:t>Резюме теоретической части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Политика, ориентированная на свободное развитие внешней торговли, – «фритредерство». Протекционизм – политика ограничения свободной торговли.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Причины протекционизма различны: необходимость защиты национальных отраслей экономики; защита от дешёвой иностранной рабочей силы; увеличение роста ВВП, ответ на жёсткие меры внешнеторговой политики других стран, защита от демпинга.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Демпинг – это процесс установления искусственно заниженных цен на товары с целью вытеснения конкурентов.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Тарифные барьеры – это пошлины на импортные товары, которые платит импортёр товаров. Нетарифные барьеры – это меры, имеющие неценовой характер для ограничения импорта: квоты, стандарты, лицензии, эмбарго и др.</w:t>
      </w:r>
    </w:p>
    <w:p w:rsidR="0084525F" w:rsidRPr="00870E30" w:rsidRDefault="00870E30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4F64A2">
        <w:rPr>
          <w:b/>
          <w:bCs/>
          <w:color w:val="1D1D1B"/>
          <w:sz w:val="18"/>
          <w:szCs w:val="18"/>
          <w:highlight w:val="yellow"/>
        </w:rPr>
        <w:t>ПОВТОРЕНИЕ.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b/>
          <w:color w:val="1D1D1B"/>
          <w:sz w:val="18"/>
          <w:szCs w:val="18"/>
        </w:rPr>
        <w:t>1. Выберите верное ут</w:t>
      </w:r>
      <w:r w:rsidR="00870E30" w:rsidRPr="00870E30">
        <w:rPr>
          <w:b/>
          <w:color w:val="1D1D1B"/>
          <w:sz w:val="18"/>
          <w:szCs w:val="18"/>
        </w:rPr>
        <w:t>верждение и запишите ответ</w:t>
      </w:r>
      <w:r w:rsidR="00870E30">
        <w:rPr>
          <w:color w:val="1D1D1B"/>
          <w:sz w:val="18"/>
          <w:szCs w:val="18"/>
        </w:rPr>
        <w:t>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А) Импортные таможенные пошлины, как правило, ниже на товары, которые не производятся в стране.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Б) Международная торговля выгодна только странам-экспортёрам.</w:t>
      </w:r>
    </w:p>
    <w:p w:rsidR="0084525F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Ответ</w:t>
      </w:r>
      <w:r w:rsidR="00870E30">
        <w:rPr>
          <w:color w:val="1D1D1B"/>
          <w:sz w:val="18"/>
          <w:szCs w:val="18"/>
        </w:rPr>
        <w:t xml:space="preserve"> </w:t>
      </w:r>
    </w:p>
    <w:p w:rsidR="00870E30" w:rsidRPr="00870E30" w:rsidRDefault="00870E30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b/>
          <w:color w:val="1D1D1B"/>
          <w:sz w:val="18"/>
          <w:szCs w:val="18"/>
        </w:rPr>
      </w:pPr>
      <w:r w:rsidRPr="00870E30">
        <w:rPr>
          <w:b/>
          <w:color w:val="1D1D1B"/>
          <w:sz w:val="18"/>
          <w:szCs w:val="18"/>
        </w:rPr>
        <w:t>2. Запрещение ввоза какого-либо товара в данную страну – это…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а) демпинг;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б) требование таможенной службы лицензии на импорт;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в) квотирование;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г) эмбарго.</w:t>
      </w:r>
    </w:p>
    <w:p w:rsidR="0084525F" w:rsidRPr="00870E30" w:rsidRDefault="0084525F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870E30">
        <w:rPr>
          <w:color w:val="1D1D1B"/>
          <w:sz w:val="18"/>
          <w:szCs w:val="18"/>
        </w:rPr>
        <w:t>Ответ:</w:t>
      </w:r>
    </w:p>
    <w:p w:rsidR="001D18FA" w:rsidRPr="00870E30" w:rsidRDefault="001D18FA" w:rsidP="0084525F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</w:p>
    <w:p w:rsidR="00EB3BDE" w:rsidRPr="00341200" w:rsidRDefault="00EB3BDE" w:rsidP="00EB3BDE">
      <w:pPr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EB3BDE" w:rsidRPr="00646065" w:rsidRDefault="00EB3BDE" w:rsidP="00EB3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Срок выполнения за</w:t>
      </w:r>
      <w:r>
        <w:rPr>
          <w:rFonts w:ascii="Times New Roman" w:hAnsi="Times New Roman" w:cs="Times New Roman"/>
          <w:sz w:val="24"/>
          <w:szCs w:val="24"/>
        </w:rPr>
        <w:t>дания 26.03.21.</w:t>
      </w:r>
      <w:r w:rsidRPr="00341200">
        <w:rPr>
          <w:rFonts w:ascii="Times New Roman" w:hAnsi="Times New Roman" w:cs="Times New Roman"/>
          <w:b/>
          <w:sz w:val="24"/>
          <w:szCs w:val="24"/>
        </w:rPr>
        <w:t xml:space="preserve">      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3BDE" w:rsidRPr="00646065" w:rsidRDefault="00EB3BDE" w:rsidP="00EB3BDE">
      <w:pPr>
        <w:pStyle w:val="3"/>
        <w:rPr>
          <w:b w:val="0"/>
          <w:i/>
          <w:sz w:val="24"/>
          <w:szCs w:val="24"/>
        </w:rPr>
      </w:pPr>
      <w:r w:rsidRPr="00646065">
        <w:rPr>
          <w:sz w:val="24"/>
          <w:szCs w:val="24"/>
        </w:rPr>
        <w:t xml:space="preserve"> </w:t>
      </w:r>
      <w:r w:rsidRPr="00646065">
        <w:rPr>
          <w:b w:val="0"/>
          <w:i/>
          <w:sz w:val="24"/>
          <w:szCs w:val="24"/>
        </w:rPr>
        <w:t>Выполните задания и отправьте на</w:t>
      </w:r>
      <w:r>
        <w:rPr>
          <w:b w:val="0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электронную почту lik1506 @</w:t>
      </w:r>
      <w:proofErr w:type="spellStart"/>
      <w:r w:rsidRPr="00646065">
        <w:rPr>
          <w:sz w:val="24"/>
          <w:szCs w:val="24"/>
        </w:rPr>
        <w:t>yandex</w:t>
      </w:r>
      <w:proofErr w:type="spellEnd"/>
      <w:r w:rsidRPr="00646065">
        <w:rPr>
          <w:sz w:val="24"/>
          <w:szCs w:val="24"/>
        </w:rPr>
        <w:t>.</w:t>
      </w:r>
      <w:r w:rsidRPr="00646065">
        <w:rPr>
          <w:sz w:val="24"/>
          <w:szCs w:val="24"/>
          <w:lang w:val="en-US"/>
        </w:rPr>
        <w:t>r</w:t>
      </w:r>
      <w:proofErr w:type="spellStart"/>
      <w:r w:rsidRPr="00646065">
        <w:rPr>
          <w:sz w:val="24"/>
          <w:szCs w:val="24"/>
        </w:rPr>
        <w:t>u</w:t>
      </w:r>
      <w:proofErr w:type="spellEnd"/>
      <w:r w:rsidRPr="00646065">
        <w:rPr>
          <w:b w:val="0"/>
          <w:sz w:val="24"/>
          <w:szCs w:val="24"/>
        </w:rPr>
        <w:t xml:space="preserve"> </w:t>
      </w:r>
    </w:p>
    <w:p w:rsidR="00EB3BDE" w:rsidRPr="00646065" w:rsidRDefault="00EB3BDE" w:rsidP="00EB3BDE">
      <w:pPr>
        <w:pStyle w:val="3"/>
        <w:rPr>
          <w:sz w:val="24"/>
          <w:szCs w:val="24"/>
        </w:rPr>
      </w:pPr>
      <w:r w:rsidRPr="00646065">
        <w:rPr>
          <w:sz w:val="24"/>
          <w:szCs w:val="24"/>
        </w:rPr>
        <w:t xml:space="preserve"> с указанием Ф.И. группы, урок № </w:t>
      </w:r>
      <w:r>
        <w:rPr>
          <w:sz w:val="24"/>
          <w:szCs w:val="24"/>
        </w:rPr>
        <w:t>54</w:t>
      </w:r>
    </w:p>
    <w:p w:rsidR="001D18FA" w:rsidRPr="00870E30" w:rsidRDefault="00EB3BDE" w:rsidP="00B67CF7">
      <w:pPr>
        <w:pStyle w:val="a3"/>
        <w:shd w:val="clear" w:color="auto" w:fill="FFFFFF"/>
        <w:ind w:left="1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440F1" w:rsidRPr="00870E30" w:rsidRDefault="00F440F1" w:rsidP="004C38B7">
      <w:pPr>
        <w:pStyle w:val="a3"/>
        <w:ind w:left="720"/>
        <w:rPr>
          <w:color w:val="000000"/>
          <w:sz w:val="18"/>
          <w:szCs w:val="18"/>
        </w:rPr>
      </w:pPr>
    </w:p>
    <w:p w:rsidR="00D82165" w:rsidRPr="00870E30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870E30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2033"/>
    <w:rsid w:val="00021BE2"/>
    <w:rsid w:val="00032439"/>
    <w:rsid w:val="000613D9"/>
    <w:rsid w:val="00076717"/>
    <w:rsid w:val="00091FC3"/>
    <w:rsid w:val="000A1E1D"/>
    <w:rsid w:val="000F5731"/>
    <w:rsid w:val="00100AD6"/>
    <w:rsid w:val="001350BC"/>
    <w:rsid w:val="001574E3"/>
    <w:rsid w:val="001B58B6"/>
    <w:rsid w:val="001C2033"/>
    <w:rsid w:val="001D18FA"/>
    <w:rsid w:val="0022708F"/>
    <w:rsid w:val="00230D45"/>
    <w:rsid w:val="00231C98"/>
    <w:rsid w:val="002A0681"/>
    <w:rsid w:val="002F5A71"/>
    <w:rsid w:val="003035CC"/>
    <w:rsid w:val="00317EF5"/>
    <w:rsid w:val="00332505"/>
    <w:rsid w:val="00353177"/>
    <w:rsid w:val="0036257D"/>
    <w:rsid w:val="00364B6E"/>
    <w:rsid w:val="00373F6A"/>
    <w:rsid w:val="003C1156"/>
    <w:rsid w:val="003E37B0"/>
    <w:rsid w:val="00437D2A"/>
    <w:rsid w:val="00451C28"/>
    <w:rsid w:val="004713E1"/>
    <w:rsid w:val="004B49FC"/>
    <w:rsid w:val="004C38B7"/>
    <w:rsid w:val="004D2C2F"/>
    <w:rsid w:val="004F64A2"/>
    <w:rsid w:val="005107AC"/>
    <w:rsid w:val="0052548A"/>
    <w:rsid w:val="005834B2"/>
    <w:rsid w:val="005E63C9"/>
    <w:rsid w:val="005F2AA8"/>
    <w:rsid w:val="00674B8E"/>
    <w:rsid w:val="00693BAB"/>
    <w:rsid w:val="00703A26"/>
    <w:rsid w:val="007320E9"/>
    <w:rsid w:val="00737833"/>
    <w:rsid w:val="007404A3"/>
    <w:rsid w:val="007472D7"/>
    <w:rsid w:val="007B5EAF"/>
    <w:rsid w:val="007D55E5"/>
    <w:rsid w:val="007E6F31"/>
    <w:rsid w:val="007F022B"/>
    <w:rsid w:val="0084525F"/>
    <w:rsid w:val="0086080C"/>
    <w:rsid w:val="00870E30"/>
    <w:rsid w:val="008D561D"/>
    <w:rsid w:val="008E6C62"/>
    <w:rsid w:val="009102C5"/>
    <w:rsid w:val="009135AE"/>
    <w:rsid w:val="00954AF9"/>
    <w:rsid w:val="00973636"/>
    <w:rsid w:val="009A273E"/>
    <w:rsid w:val="009D3FED"/>
    <w:rsid w:val="009E40EE"/>
    <w:rsid w:val="009E4175"/>
    <w:rsid w:val="009E4BC6"/>
    <w:rsid w:val="00A04715"/>
    <w:rsid w:val="00A756E0"/>
    <w:rsid w:val="00A778F2"/>
    <w:rsid w:val="00A81390"/>
    <w:rsid w:val="00A83580"/>
    <w:rsid w:val="00A86C0D"/>
    <w:rsid w:val="00A90D36"/>
    <w:rsid w:val="00AA177B"/>
    <w:rsid w:val="00AC5E1E"/>
    <w:rsid w:val="00AE1990"/>
    <w:rsid w:val="00AE584D"/>
    <w:rsid w:val="00AF30CA"/>
    <w:rsid w:val="00AF5982"/>
    <w:rsid w:val="00B67CF7"/>
    <w:rsid w:val="00B875B0"/>
    <w:rsid w:val="00C3623A"/>
    <w:rsid w:val="00CA537C"/>
    <w:rsid w:val="00CE2887"/>
    <w:rsid w:val="00CE7214"/>
    <w:rsid w:val="00D40651"/>
    <w:rsid w:val="00D64A16"/>
    <w:rsid w:val="00D82165"/>
    <w:rsid w:val="00D971AE"/>
    <w:rsid w:val="00E04B75"/>
    <w:rsid w:val="00EB3BDE"/>
    <w:rsid w:val="00EE74B9"/>
    <w:rsid w:val="00F042FE"/>
    <w:rsid w:val="00F07859"/>
    <w:rsid w:val="00F440F1"/>
    <w:rsid w:val="00F57CA3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C8F2-1DFA-4A17-A562-F18F1B0A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72</cp:revision>
  <dcterms:created xsi:type="dcterms:W3CDTF">2020-09-24T15:31:00Z</dcterms:created>
  <dcterms:modified xsi:type="dcterms:W3CDTF">2021-03-24T10:39:00Z</dcterms:modified>
</cp:coreProperties>
</file>